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54FD" w14:textId="77777777" w:rsidR="00D113F9" w:rsidRDefault="00D113F9">
      <w:pPr>
        <w:ind w:right="-90"/>
        <w:rPr>
          <w:rFonts w:ascii="Oswald" w:eastAsia="Oswald" w:hAnsi="Oswald" w:cs="Oswald"/>
          <w:color w:val="FFFFFF"/>
        </w:rPr>
      </w:pPr>
    </w:p>
    <w:tbl>
      <w:tblPr>
        <w:tblStyle w:val="a"/>
        <w:tblW w:w="9360" w:type="dxa"/>
        <w:tblBorders>
          <w:top w:val="single" w:sz="8" w:space="0" w:color="1155CC"/>
          <w:left w:val="single" w:sz="8" w:space="0" w:color="1155CC"/>
          <w:bottom w:val="single" w:sz="8" w:space="0" w:color="1155CC"/>
          <w:right w:val="single" w:sz="8" w:space="0" w:color="1155CC"/>
          <w:insideH w:val="single" w:sz="8" w:space="0" w:color="1155CC"/>
          <w:insideV w:val="single" w:sz="8" w:space="0" w:color="1155CC"/>
        </w:tblBorders>
        <w:tblLayout w:type="fixed"/>
        <w:tblLook w:val="0600" w:firstRow="0" w:lastRow="0" w:firstColumn="0" w:lastColumn="0" w:noHBand="1" w:noVBand="1"/>
      </w:tblPr>
      <w:tblGrid>
        <w:gridCol w:w="9360"/>
      </w:tblGrid>
      <w:tr w:rsidR="00D113F9" w14:paraId="0E043C5C" w14:textId="77777777">
        <w:tc>
          <w:tcPr>
            <w:tcW w:w="9360" w:type="dxa"/>
            <w:shd w:val="clear" w:color="auto" w:fill="0B5394"/>
            <w:tcMar>
              <w:top w:w="100" w:type="dxa"/>
              <w:left w:w="100" w:type="dxa"/>
              <w:bottom w:w="100" w:type="dxa"/>
              <w:right w:w="100" w:type="dxa"/>
            </w:tcMar>
          </w:tcPr>
          <w:p w14:paraId="095F64FA" w14:textId="77777777" w:rsidR="00D113F9" w:rsidRDefault="00D113F9">
            <w:pPr>
              <w:ind w:right="-90"/>
              <w:jc w:val="center"/>
              <w:rPr>
                <w:rFonts w:ascii="Oswald" w:eastAsia="Oswald" w:hAnsi="Oswald" w:cs="Oswald"/>
                <w:color w:val="FFFFFF"/>
                <w:sz w:val="28"/>
                <w:szCs w:val="28"/>
              </w:rPr>
            </w:pPr>
          </w:p>
          <w:p w14:paraId="2BB16FFC" w14:textId="77777777" w:rsidR="00D113F9" w:rsidRDefault="004B56EC">
            <w:pPr>
              <w:ind w:right="-90"/>
              <w:jc w:val="center"/>
              <w:rPr>
                <w:rFonts w:ascii="Oswald" w:eastAsia="Oswald" w:hAnsi="Oswald" w:cs="Oswald"/>
                <w:color w:val="FFD966"/>
                <w:sz w:val="72"/>
                <w:szCs w:val="72"/>
              </w:rPr>
            </w:pPr>
            <w:r>
              <w:rPr>
                <w:rFonts w:ascii="Oswald" w:eastAsia="Oswald" w:hAnsi="Oswald" w:cs="Oswald"/>
                <w:color w:val="FFFFFF"/>
                <w:sz w:val="58"/>
                <w:szCs w:val="58"/>
              </w:rPr>
              <w:t>Oregon Child Care Provider Relief Guide</w:t>
            </w:r>
            <w:r>
              <w:rPr>
                <w:rFonts w:ascii="Oswald" w:eastAsia="Oswald" w:hAnsi="Oswald" w:cs="Oswald"/>
                <w:color w:val="FFD966"/>
                <w:sz w:val="72"/>
                <w:szCs w:val="72"/>
              </w:rPr>
              <w:t>.</w:t>
            </w:r>
          </w:p>
          <w:p w14:paraId="5121F3FB" w14:textId="77777777" w:rsidR="00D113F9" w:rsidRDefault="00D113F9">
            <w:pPr>
              <w:ind w:right="-90"/>
              <w:jc w:val="center"/>
              <w:rPr>
                <w:rFonts w:ascii="Oswald" w:eastAsia="Oswald" w:hAnsi="Oswald" w:cs="Oswald"/>
                <w:color w:val="FFD966"/>
                <w:sz w:val="16"/>
                <w:szCs w:val="16"/>
              </w:rPr>
            </w:pPr>
          </w:p>
          <w:p w14:paraId="1E99D16E" w14:textId="77777777" w:rsidR="00D113F9" w:rsidRDefault="00D113F9">
            <w:pPr>
              <w:widowControl w:val="0"/>
              <w:pBdr>
                <w:top w:val="nil"/>
                <w:left w:val="nil"/>
                <w:bottom w:val="nil"/>
                <w:right w:val="nil"/>
                <w:between w:val="nil"/>
              </w:pBdr>
              <w:ind w:right="-90"/>
              <w:rPr>
                <w:b/>
                <w:sz w:val="16"/>
                <w:szCs w:val="16"/>
              </w:rPr>
            </w:pPr>
          </w:p>
        </w:tc>
      </w:tr>
    </w:tbl>
    <w:p w14:paraId="538C4F44" w14:textId="77777777" w:rsidR="00D113F9" w:rsidRDefault="00D113F9">
      <w:pPr>
        <w:ind w:right="-90"/>
        <w:rPr>
          <w:rFonts w:ascii="Arial" w:eastAsia="Arial" w:hAnsi="Arial" w:cs="Arial"/>
          <w:b/>
          <w:color w:val="222222"/>
          <w:sz w:val="28"/>
          <w:szCs w:val="28"/>
        </w:rPr>
      </w:pPr>
    </w:p>
    <w:p w14:paraId="48C9C63C" w14:textId="77777777" w:rsidR="00D113F9" w:rsidRDefault="004B56EC">
      <w:pPr>
        <w:ind w:right="-90"/>
        <w:rPr>
          <w:rFonts w:ascii="Arial" w:eastAsia="Arial" w:hAnsi="Arial" w:cs="Arial"/>
          <w:color w:val="222222"/>
          <w:sz w:val="28"/>
          <w:szCs w:val="28"/>
        </w:rPr>
      </w:pPr>
      <w:r>
        <w:rPr>
          <w:rFonts w:ascii="Arial" w:eastAsia="Arial" w:hAnsi="Arial" w:cs="Arial"/>
          <w:b/>
          <w:color w:val="222222"/>
          <w:sz w:val="28"/>
          <w:szCs w:val="28"/>
        </w:rPr>
        <w:t>COVID-19 Emergency Financial Resources for Child Care Providers</w:t>
      </w:r>
      <w:r>
        <w:rPr>
          <w:rFonts w:ascii="Arial" w:eastAsia="Arial" w:hAnsi="Arial" w:cs="Arial"/>
          <w:color w:val="222222"/>
          <w:sz w:val="28"/>
          <w:szCs w:val="28"/>
        </w:rPr>
        <w:t> </w:t>
      </w:r>
    </w:p>
    <w:p w14:paraId="7FC6C02A" w14:textId="77777777" w:rsidR="00D113F9" w:rsidRDefault="00D113F9">
      <w:pPr>
        <w:shd w:val="clear" w:color="auto" w:fill="FFFFFF"/>
        <w:ind w:right="-90"/>
        <w:rPr>
          <w:rFonts w:ascii="Arial" w:eastAsia="Arial" w:hAnsi="Arial" w:cs="Arial"/>
          <w:color w:val="222222"/>
        </w:rPr>
      </w:pPr>
    </w:p>
    <w:p w14:paraId="06C6F955" w14:textId="77777777" w:rsidR="00D113F9" w:rsidRDefault="004B56EC">
      <w:pPr>
        <w:shd w:val="clear" w:color="auto" w:fill="FFFFFF"/>
        <w:ind w:right="-90"/>
        <w:rPr>
          <w:rFonts w:ascii="Arial" w:eastAsia="Arial" w:hAnsi="Arial" w:cs="Arial"/>
          <w:i/>
          <w:color w:val="222222"/>
          <w:sz w:val="22"/>
          <w:szCs w:val="22"/>
        </w:rPr>
      </w:pPr>
      <w:r>
        <w:rPr>
          <w:rFonts w:ascii="Arial" w:eastAsia="Arial" w:hAnsi="Arial" w:cs="Arial"/>
          <w:color w:val="222222"/>
          <w:sz w:val="22"/>
          <w:szCs w:val="22"/>
        </w:rPr>
        <w:t>Child care providers across Oregon are experiencing significant challenges and difficult decisions as a result of the COVID-19 pandemic.</w:t>
      </w:r>
      <w:r>
        <w:rPr>
          <w:rFonts w:ascii="Arial" w:eastAsia="Arial" w:hAnsi="Arial" w:cs="Arial"/>
          <w:color w:val="222222"/>
        </w:rPr>
        <w:t xml:space="preserve"> </w:t>
      </w:r>
      <w:r>
        <w:rPr>
          <w:rFonts w:ascii="Arial" w:eastAsia="Arial" w:hAnsi="Arial" w:cs="Arial"/>
          <w:color w:val="222222"/>
          <w:sz w:val="22"/>
          <w:szCs w:val="22"/>
        </w:rPr>
        <w:t xml:space="preserve">To help providers remain in business through this uncertain time, the Coronavirus Aid, Relief, and Economic Security Act (CARES Act) provides loans and grants to small businesses with fewer than 500 employees. </w:t>
      </w:r>
      <w:r>
        <w:rPr>
          <w:rFonts w:ascii="Arial" w:eastAsia="Arial" w:hAnsi="Arial" w:cs="Arial"/>
          <w:i/>
          <w:color w:val="222222"/>
          <w:sz w:val="22"/>
          <w:szCs w:val="22"/>
        </w:rPr>
        <w:t>Nonprofit and for-profit child care providers (home and center-based) are eligible to apply for these funds.</w:t>
      </w:r>
    </w:p>
    <w:p w14:paraId="1A57DEEA" w14:textId="77777777" w:rsidR="00D113F9" w:rsidRDefault="00D113F9">
      <w:pPr>
        <w:shd w:val="clear" w:color="auto" w:fill="FFFFFF"/>
        <w:ind w:right="-90"/>
        <w:rPr>
          <w:rFonts w:ascii="Arial" w:eastAsia="Arial" w:hAnsi="Arial" w:cs="Arial"/>
          <w:color w:val="222222"/>
          <w:sz w:val="22"/>
          <w:szCs w:val="22"/>
        </w:rPr>
      </w:pPr>
    </w:p>
    <w:p w14:paraId="380F70DA" w14:textId="77777777" w:rsidR="00D113F9" w:rsidRDefault="004B56EC">
      <w:pPr>
        <w:rPr>
          <w:rFonts w:ascii="Arial" w:eastAsia="Arial" w:hAnsi="Arial" w:cs="Arial"/>
          <w:b/>
          <w:color w:val="222222"/>
          <w:sz w:val="22"/>
          <w:szCs w:val="22"/>
        </w:rPr>
      </w:pPr>
      <w:r>
        <w:rPr>
          <w:rFonts w:ascii="Arial" w:eastAsia="Arial" w:hAnsi="Arial" w:cs="Arial"/>
          <w:sz w:val="22"/>
          <w:szCs w:val="22"/>
        </w:rPr>
        <w:t xml:space="preserve">You may access a link to the Main Street Alliance's detailed </w:t>
      </w:r>
      <w:hyperlink r:id="rId7">
        <w:r>
          <w:rPr>
            <w:rFonts w:ascii="Arial" w:eastAsia="Arial" w:hAnsi="Arial" w:cs="Arial"/>
            <w:color w:val="1155CC"/>
            <w:sz w:val="22"/>
            <w:szCs w:val="22"/>
            <w:u w:val="single"/>
          </w:rPr>
          <w:t>"Small Business Guide to COVID-19 Policies"</w:t>
        </w:r>
      </w:hyperlink>
      <w:r>
        <w:rPr>
          <w:rFonts w:ascii="Arial" w:eastAsia="Arial" w:hAnsi="Arial" w:cs="Arial"/>
          <w:sz w:val="22"/>
          <w:szCs w:val="22"/>
        </w:rPr>
        <w:t xml:space="preserve"> but we are first calling attention to one of the five main programs available, the Paycheck Protection Program (PPP). The PPP is </w:t>
      </w:r>
      <w:r>
        <w:rPr>
          <w:rFonts w:ascii="Arial" w:eastAsia="Arial" w:hAnsi="Arial" w:cs="Arial"/>
          <w:i/>
          <w:sz w:val="22"/>
          <w:szCs w:val="22"/>
        </w:rPr>
        <w:t>expected to be the most popular program for child care providers and other small businesses</w:t>
      </w:r>
      <w:r>
        <w:rPr>
          <w:rFonts w:ascii="Arial" w:eastAsia="Arial" w:hAnsi="Arial" w:cs="Arial"/>
          <w:sz w:val="22"/>
          <w:szCs w:val="22"/>
        </w:rPr>
        <w:t xml:space="preserve">. </w:t>
      </w:r>
      <w:r>
        <w:rPr>
          <w:rFonts w:ascii="Arial" w:eastAsia="Arial" w:hAnsi="Arial" w:cs="Arial"/>
          <w:color w:val="222222"/>
          <w:sz w:val="22"/>
          <w:szCs w:val="22"/>
        </w:rPr>
        <w:t>Given that PPP loans will be granted on a first-come, first-served basis and that there will not be enough for all eligible businesses,</w:t>
      </w:r>
      <w:r>
        <w:rPr>
          <w:rFonts w:ascii="Arial" w:eastAsia="Arial" w:hAnsi="Arial" w:cs="Arial"/>
          <w:b/>
          <w:color w:val="222222"/>
          <w:sz w:val="22"/>
          <w:szCs w:val="22"/>
        </w:rPr>
        <w:t xml:space="preserve"> it is important to move quickly if your organization is eligible and interested.</w:t>
      </w:r>
    </w:p>
    <w:p w14:paraId="43693DBA" w14:textId="77777777" w:rsidR="00D113F9" w:rsidRDefault="00D113F9">
      <w:pPr>
        <w:shd w:val="clear" w:color="auto" w:fill="FFFFFF"/>
        <w:ind w:right="-90"/>
        <w:rPr>
          <w:rFonts w:ascii="Arial" w:eastAsia="Arial" w:hAnsi="Arial" w:cs="Arial"/>
          <w:color w:val="222222"/>
        </w:rPr>
      </w:pPr>
    </w:p>
    <w:p w14:paraId="3771DCF1" w14:textId="77777777" w:rsidR="00D113F9" w:rsidRDefault="004B56EC">
      <w:pPr>
        <w:ind w:right="-90"/>
        <w:rPr>
          <w:rFonts w:ascii="Oswald" w:eastAsia="Oswald" w:hAnsi="Oswald" w:cs="Oswald"/>
          <w:color w:val="FFD966"/>
          <w:sz w:val="36"/>
          <w:szCs w:val="36"/>
          <w:shd w:val="clear" w:color="auto" w:fill="0B5394"/>
        </w:rPr>
      </w:pPr>
      <w:r>
        <w:rPr>
          <w:rFonts w:ascii="Oswald" w:eastAsia="Oswald" w:hAnsi="Oswald" w:cs="Oswald"/>
          <w:color w:val="FFFFFF"/>
          <w:sz w:val="36"/>
          <w:szCs w:val="36"/>
          <w:shd w:val="clear" w:color="auto" w:fill="0B5394"/>
        </w:rPr>
        <w:t xml:space="preserve">  Paycheck Protection Program</w:t>
      </w:r>
      <w:r>
        <w:rPr>
          <w:rFonts w:ascii="Oswald" w:eastAsia="Oswald" w:hAnsi="Oswald" w:cs="Oswald"/>
          <w:color w:val="FFD966"/>
          <w:sz w:val="36"/>
          <w:szCs w:val="36"/>
          <w:shd w:val="clear" w:color="auto" w:fill="0B5394"/>
        </w:rPr>
        <w:t>.</w:t>
      </w:r>
      <w:r>
        <w:rPr>
          <w:rFonts w:ascii="Oswald" w:eastAsia="Oswald" w:hAnsi="Oswald" w:cs="Oswald"/>
          <w:color w:val="0B5394"/>
          <w:sz w:val="36"/>
          <w:szCs w:val="36"/>
          <w:shd w:val="clear" w:color="auto" w:fill="0B5394"/>
        </w:rPr>
        <w:t>..</w:t>
      </w:r>
      <w:r>
        <w:rPr>
          <w:rFonts w:ascii="Oswald" w:eastAsia="Oswald" w:hAnsi="Oswald" w:cs="Oswald"/>
          <w:color w:val="FFD966"/>
          <w:sz w:val="36"/>
          <w:szCs w:val="36"/>
          <w:shd w:val="clear" w:color="auto" w:fill="0B5394"/>
        </w:rPr>
        <w:t xml:space="preserve">  </w:t>
      </w:r>
    </w:p>
    <w:p w14:paraId="2635D142" w14:textId="77777777" w:rsidR="00D113F9" w:rsidRDefault="00D113F9">
      <w:pPr>
        <w:shd w:val="clear" w:color="auto" w:fill="FFFFFF"/>
        <w:ind w:right="-90"/>
        <w:rPr>
          <w:rFonts w:ascii="Arial" w:eastAsia="Arial" w:hAnsi="Arial" w:cs="Arial"/>
          <w:b/>
          <w:color w:val="222222"/>
          <w:sz w:val="22"/>
          <w:szCs w:val="22"/>
        </w:rPr>
      </w:pPr>
    </w:p>
    <w:p w14:paraId="79A9A44B" w14:textId="77777777" w:rsidR="00D113F9" w:rsidRDefault="004B56EC">
      <w:pPr>
        <w:shd w:val="clear" w:color="auto" w:fill="FFFFFF"/>
        <w:ind w:right="-90"/>
        <w:rPr>
          <w:rFonts w:ascii="Arial" w:eastAsia="Arial" w:hAnsi="Arial" w:cs="Arial"/>
          <w:color w:val="222222"/>
        </w:rPr>
      </w:pPr>
      <w:r>
        <w:rPr>
          <w:rFonts w:ascii="Arial" w:eastAsia="Arial" w:hAnsi="Arial" w:cs="Arial"/>
          <w:b/>
          <w:color w:val="222222"/>
          <w:sz w:val="22"/>
          <w:szCs w:val="22"/>
        </w:rPr>
        <w:t xml:space="preserve">The Paycheck Protection Program (PPP) </w:t>
      </w:r>
      <w:r>
        <w:rPr>
          <w:rFonts w:ascii="Arial" w:eastAsia="Arial" w:hAnsi="Arial" w:cs="Arial"/>
          <w:color w:val="222222"/>
          <w:sz w:val="22"/>
          <w:szCs w:val="22"/>
        </w:rPr>
        <w:t xml:space="preserve">loans created in the CARES Act will be available through banks and credit unions that already participate in what is known as the Small Business Administration’s (SBA) 7(a) program. Applications are expected to become available to lenders as soon as </w:t>
      </w:r>
      <w:r>
        <w:rPr>
          <w:rFonts w:ascii="Arial" w:eastAsia="Arial" w:hAnsi="Arial" w:cs="Arial"/>
          <w:b/>
          <w:color w:val="222222"/>
          <w:sz w:val="22"/>
          <w:szCs w:val="22"/>
        </w:rPr>
        <w:t>Friday, April 3, 2020.</w:t>
      </w:r>
    </w:p>
    <w:p w14:paraId="7C10D0D8" w14:textId="77777777" w:rsidR="00D113F9" w:rsidRDefault="00D113F9">
      <w:pPr>
        <w:shd w:val="clear" w:color="auto" w:fill="FFFFFF"/>
        <w:ind w:right="-90"/>
        <w:rPr>
          <w:rFonts w:ascii="Arial" w:eastAsia="Arial" w:hAnsi="Arial" w:cs="Arial"/>
          <w:color w:val="222222"/>
        </w:rPr>
      </w:pPr>
    </w:p>
    <w:p w14:paraId="2C28FB8F" w14:textId="77777777" w:rsidR="00D113F9" w:rsidRDefault="004B56EC">
      <w:pPr>
        <w:shd w:val="clear" w:color="auto" w:fill="FFFFFF"/>
        <w:ind w:right="-90"/>
        <w:rPr>
          <w:rFonts w:ascii="Arial" w:eastAsia="Arial" w:hAnsi="Arial" w:cs="Arial"/>
          <w:color w:val="222222"/>
        </w:rPr>
      </w:pPr>
      <w:r>
        <w:rPr>
          <w:rFonts w:ascii="Arial" w:eastAsia="Arial" w:hAnsi="Arial" w:cs="Arial"/>
          <w:color w:val="222222"/>
          <w:sz w:val="22"/>
          <w:szCs w:val="22"/>
        </w:rPr>
        <w:t>The PPP allows forgiveness (up to 2.5x monthly payroll) of loan funds used to pay salaries of staff making less than $100,000 per year, costs related to paid sick or family leave, health insurance benefits, retirement benefits, rent or mortgage, or utilities. </w:t>
      </w:r>
    </w:p>
    <w:p w14:paraId="3B4777FD" w14:textId="77777777" w:rsidR="00D113F9" w:rsidRDefault="00D113F9">
      <w:pPr>
        <w:shd w:val="clear" w:color="auto" w:fill="FFFFFF"/>
        <w:ind w:right="-90"/>
        <w:rPr>
          <w:rFonts w:ascii="Arial" w:eastAsia="Arial" w:hAnsi="Arial" w:cs="Arial"/>
          <w:color w:val="222222"/>
        </w:rPr>
      </w:pPr>
    </w:p>
    <w:p w14:paraId="3FD2F2FC" w14:textId="77777777" w:rsidR="00D113F9" w:rsidRDefault="004B56EC">
      <w:pPr>
        <w:shd w:val="clear" w:color="auto" w:fill="FFFFFF"/>
        <w:ind w:right="-90"/>
        <w:rPr>
          <w:rFonts w:ascii="Arial" w:eastAsia="Arial" w:hAnsi="Arial" w:cs="Arial"/>
          <w:color w:val="222222"/>
        </w:rPr>
      </w:pPr>
      <w:r>
        <w:rPr>
          <w:rFonts w:ascii="Arial" w:eastAsia="Arial" w:hAnsi="Arial" w:cs="Arial"/>
          <w:color w:val="222222"/>
          <w:sz w:val="22"/>
          <w:szCs w:val="22"/>
        </w:rPr>
        <w:t>To apply for a PPP loan:</w:t>
      </w:r>
    </w:p>
    <w:p w14:paraId="1AC091BB" w14:textId="77777777" w:rsidR="00D113F9" w:rsidRDefault="004B56EC">
      <w:pPr>
        <w:numPr>
          <w:ilvl w:val="0"/>
          <w:numId w:val="5"/>
        </w:numPr>
        <w:pBdr>
          <w:top w:val="nil"/>
          <w:left w:val="nil"/>
          <w:bottom w:val="nil"/>
          <w:right w:val="nil"/>
          <w:between w:val="nil"/>
        </w:pBdr>
        <w:shd w:val="clear" w:color="auto" w:fill="FFFFFF"/>
        <w:spacing w:before="280"/>
        <w:ind w:right="-90"/>
        <w:rPr>
          <w:color w:val="222222"/>
          <w:sz w:val="22"/>
          <w:szCs w:val="22"/>
        </w:rPr>
      </w:pPr>
      <w:r>
        <w:rPr>
          <w:rFonts w:ascii="Arial" w:eastAsia="Arial" w:hAnsi="Arial" w:cs="Arial"/>
          <w:b/>
          <w:color w:val="222222"/>
          <w:sz w:val="22"/>
          <w:szCs w:val="22"/>
        </w:rPr>
        <w:t xml:space="preserve">Contact your bank or credit union TODAY </w:t>
      </w:r>
      <w:r>
        <w:rPr>
          <w:rFonts w:ascii="Arial" w:eastAsia="Arial" w:hAnsi="Arial" w:cs="Arial"/>
          <w:color w:val="222222"/>
          <w:sz w:val="22"/>
          <w:szCs w:val="22"/>
        </w:rPr>
        <w:t xml:space="preserve">and ask if they participate in the 7(a) </w:t>
      </w:r>
      <w:proofErr w:type="gramStart"/>
      <w:r>
        <w:rPr>
          <w:rFonts w:ascii="Arial" w:eastAsia="Arial" w:hAnsi="Arial" w:cs="Arial"/>
          <w:color w:val="222222"/>
          <w:sz w:val="22"/>
          <w:szCs w:val="22"/>
        </w:rPr>
        <w:t>program</w:t>
      </w:r>
      <w:proofErr w:type="gramEnd"/>
      <w:r>
        <w:rPr>
          <w:rFonts w:ascii="Arial" w:eastAsia="Arial" w:hAnsi="Arial" w:cs="Arial"/>
          <w:color w:val="222222"/>
          <w:sz w:val="22"/>
          <w:szCs w:val="22"/>
        </w:rPr>
        <w:t xml:space="preserve">. </w:t>
      </w:r>
    </w:p>
    <w:p w14:paraId="68A360CA" w14:textId="77777777" w:rsidR="00D113F9" w:rsidRDefault="004B56EC">
      <w:pPr>
        <w:numPr>
          <w:ilvl w:val="1"/>
          <w:numId w:val="5"/>
        </w:numPr>
        <w:pBdr>
          <w:top w:val="nil"/>
          <w:left w:val="nil"/>
          <w:bottom w:val="nil"/>
          <w:right w:val="nil"/>
          <w:between w:val="nil"/>
        </w:pBdr>
        <w:shd w:val="clear" w:color="auto" w:fill="FFFFFF"/>
        <w:ind w:right="-90"/>
        <w:rPr>
          <w:rFonts w:ascii="Arial" w:eastAsia="Arial" w:hAnsi="Arial" w:cs="Arial"/>
          <w:color w:val="222222"/>
          <w:sz w:val="22"/>
          <w:szCs w:val="22"/>
        </w:rPr>
      </w:pPr>
      <w:r>
        <w:rPr>
          <w:rFonts w:ascii="Arial" w:eastAsia="Arial" w:hAnsi="Arial" w:cs="Arial"/>
          <w:color w:val="222222"/>
          <w:sz w:val="22"/>
          <w:szCs w:val="22"/>
        </w:rPr>
        <w:t>Applications may be more likely to be approved by a lender who knows you, your organization and your banking history.</w:t>
      </w:r>
    </w:p>
    <w:p w14:paraId="5EC50584" w14:textId="77777777" w:rsidR="00D113F9" w:rsidRDefault="004B56EC">
      <w:pPr>
        <w:numPr>
          <w:ilvl w:val="1"/>
          <w:numId w:val="5"/>
        </w:numPr>
        <w:pBdr>
          <w:top w:val="nil"/>
          <w:left w:val="nil"/>
          <w:bottom w:val="nil"/>
          <w:right w:val="nil"/>
          <w:between w:val="nil"/>
        </w:pBdr>
        <w:shd w:val="clear" w:color="auto" w:fill="FFFFFF"/>
        <w:ind w:right="-90"/>
        <w:rPr>
          <w:rFonts w:ascii="Arial" w:eastAsia="Arial" w:hAnsi="Arial" w:cs="Arial"/>
          <w:color w:val="222222"/>
          <w:sz w:val="22"/>
          <w:szCs w:val="22"/>
        </w:rPr>
      </w:pPr>
      <w:r>
        <w:rPr>
          <w:rFonts w:ascii="Arial" w:eastAsia="Arial" w:hAnsi="Arial" w:cs="Arial"/>
          <w:color w:val="222222"/>
          <w:sz w:val="22"/>
          <w:szCs w:val="22"/>
        </w:rPr>
        <w:t>If your financial institution does not participate, ask them to connect you to a bank or credit union that does.</w:t>
      </w:r>
    </w:p>
    <w:p w14:paraId="47717484" w14:textId="77777777" w:rsidR="00D113F9" w:rsidRDefault="004B56EC">
      <w:pPr>
        <w:numPr>
          <w:ilvl w:val="1"/>
          <w:numId w:val="5"/>
        </w:numPr>
        <w:pBdr>
          <w:top w:val="nil"/>
          <w:left w:val="nil"/>
          <w:bottom w:val="nil"/>
          <w:right w:val="nil"/>
          <w:between w:val="nil"/>
        </w:pBdr>
        <w:shd w:val="clear" w:color="auto" w:fill="FFFFFF"/>
        <w:ind w:right="-90"/>
        <w:rPr>
          <w:rFonts w:ascii="Arial" w:eastAsia="Arial" w:hAnsi="Arial" w:cs="Arial"/>
          <w:color w:val="222222"/>
          <w:sz w:val="22"/>
          <w:szCs w:val="22"/>
        </w:rPr>
      </w:pPr>
      <w:r>
        <w:rPr>
          <w:rFonts w:ascii="Arial" w:eastAsia="Arial" w:hAnsi="Arial" w:cs="Arial"/>
          <w:color w:val="222222"/>
          <w:sz w:val="22"/>
          <w:szCs w:val="22"/>
        </w:rPr>
        <w:t xml:space="preserve">If you are not able to receive a direct referral from your bank or credit union, </w:t>
      </w:r>
      <w:hyperlink r:id="rId8">
        <w:r>
          <w:rPr>
            <w:rFonts w:ascii="Arial" w:eastAsia="Arial" w:hAnsi="Arial" w:cs="Arial"/>
            <w:color w:val="0000FF"/>
            <w:sz w:val="22"/>
            <w:szCs w:val="22"/>
            <w:u w:val="single"/>
          </w:rPr>
          <w:t>click on this link to view the top 100 SBA 7(a) participating financial institutions.</w:t>
        </w:r>
      </w:hyperlink>
    </w:p>
    <w:p w14:paraId="668FC471" w14:textId="77777777" w:rsidR="00D113F9" w:rsidRDefault="004B56EC">
      <w:pPr>
        <w:numPr>
          <w:ilvl w:val="1"/>
          <w:numId w:val="5"/>
        </w:numPr>
        <w:pBdr>
          <w:top w:val="nil"/>
          <w:left w:val="nil"/>
          <w:bottom w:val="nil"/>
          <w:right w:val="nil"/>
          <w:between w:val="nil"/>
        </w:pBdr>
        <w:shd w:val="clear" w:color="auto" w:fill="FFFFFF"/>
        <w:ind w:right="-90"/>
        <w:rPr>
          <w:rFonts w:ascii="Arial" w:eastAsia="Arial" w:hAnsi="Arial" w:cs="Arial"/>
          <w:color w:val="222222"/>
          <w:sz w:val="22"/>
          <w:szCs w:val="22"/>
        </w:rPr>
      </w:pPr>
      <w:r>
        <w:rPr>
          <w:rFonts w:ascii="Arial" w:eastAsia="Arial" w:hAnsi="Arial" w:cs="Arial"/>
          <w:color w:val="222222"/>
          <w:sz w:val="22"/>
          <w:szCs w:val="22"/>
        </w:rPr>
        <w:t xml:space="preserve">Note: The lender’s fee is paid by the program and the lender or their agents </w:t>
      </w:r>
      <w:r>
        <w:rPr>
          <w:rFonts w:ascii="Arial" w:eastAsia="Arial" w:hAnsi="Arial" w:cs="Arial"/>
          <w:color w:val="222222"/>
          <w:sz w:val="22"/>
          <w:szCs w:val="22"/>
          <w:u w:val="single"/>
        </w:rPr>
        <w:t>may not collect any fees</w:t>
      </w:r>
      <w:r>
        <w:rPr>
          <w:rFonts w:ascii="Arial" w:eastAsia="Arial" w:hAnsi="Arial" w:cs="Arial"/>
          <w:color w:val="222222"/>
          <w:sz w:val="22"/>
          <w:szCs w:val="22"/>
        </w:rPr>
        <w:t xml:space="preserve"> from you, the applicant.</w:t>
      </w:r>
    </w:p>
    <w:p w14:paraId="347010BF" w14:textId="77777777" w:rsidR="00D113F9" w:rsidRDefault="004B56EC">
      <w:pPr>
        <w:pBdr>
          <w:top w:val="nil"/>
          <w:left w:val="nil"/>
          <w:bottom w:val="nil"/>
          <w:right w:val="nil"/>
          <w:between w:val="nil"/>
        </w:pBdr>
        <w:shd w:val="clear" w:color="auto" w:fill="FFFFFF"/>
        <w:ind w:left="1440" w:right="-90" w:hanging="720"/>
        <w:rPr>
          <w:rFonts w:ascii="Arial" w:eastAsia="Arial" w:hAnsi="Arial" w:cs="Arial"/>
          <w:color w:val="222222"/>
          <w:sz w:val="22"/>
          <w:szCs w:val="22"/>
        </w:rPr>
      </w:pPr>
      <w:r>
        <w:rPr>
          <w:rFonts w:ascii="Arial" w:eastAsia="Arial" w:hAnsi="Arial" w:cs="Arial"/>
          <w:color w:val="222222"/>
          <w:sz w:val="22"/>
          <w:szCs w:val="22"/>
        </w:rPr>
        <w:t xml:space="preserve"> </w:t>
      </w:r>
    </w:p>
    <w:p w14:paraId="4A3F463A" w14:textId="77777777" w:rsidR="00D113F9" w:rsidRDefault="004B56EC">
      <w:pPr>
        <w:numPr>
          <w:ilvl w:val="0"/>
          <w:numId w:val="5"/>
        </w:numPr>
        <w:pBdr>
          <w:top w:val="nil"/>
          <w:left w:val="nil"/>
          <w:bottom w:val="nil"/>
          <w:right w:val="nil"/>
          <w:between w:val="nil"/>
        </w:pBdr>
        <w:shd w:val="clear" w:color="auto" w:fill="FFFFFF"/>
        <w:ind w:right="-90"/>
        <w:rPr>
          <w:color w:val="222222"/>
          <w:sz w:val="22"/>
          <w:szCs w:val="22"/>
        </w:rPr>
      </w:pPr>
      <w:r>
        <w:rPr>
          <w:rFonts w:ascii="Arial" w:eastAsia="Arial" w:hAnsi="Arial" w:cs="Arial"/>
          <w:color w:val="222222"/>
          <w:sz w:val="22"/>
          <w:szCs w:val="22"/>
        </w:rPr>
        <w:t>You may expect to produce the following documentation during your application:</w:t>
      </w:r>
    </w:p>
    <w:p w14:paraId="78760CE9" w14:textId="77777777" w:rsidR="00D113F9" w:rsidRDefault="00F36C12">
      <w:pPr>
        <w:numPr>
          <w:ilvl w:val="1"/>
          <w:numId w:val="5"/>
        </w:numPr>
        <w:pBdr>
          <w:top w:val="nil"/>
          <w:left w:val="nil"/>
          <w:bottom w:val="nil"/>
          <w:right w:val="nil"/>
          <w:between w:val="nil"/>
        </w:pBdr>
        <w:shd w:val="clear" w:color="auto" w:fill="FFFFFF"/>
        <w:ind w:right="-90"/>
        <w:rPr>
          <w:rFonts w:ascii="Arial" w:eastAsia="Arial" w:hAnsi="Arial" w:cs="Arial"/>
          <w:color w:val="222222"/>
          <w:sz w:val="22"/>
          <w:szCs w:val="22"/>
        </w:rPr>
      </w:pPr>
      <w:hyperlink r:id="rId9">
        <w:r w:rsidR="004B56EC">
          <w:rPr>
            <w:rFonts w:ascii="Arial" w:eastAsia="Arial" w:hAnsi="Arial" w:cs="Arial"/>
            <w:color w:val="0000FF"/>
            <w:sz w:val="22"/>
            <w:szCs w:val="22"/>
            <w:u w:val="single"/>
          </w:rPr>
          <w:t>Paycheck Protection Program Application Form</w:t>
        </w:r>
      </w:hyperlink>
      <w:r w:rsidR="004B56EC">
        <w:rPr>
          <w:rFonts w:ascii="Arial" w:eastAsia="Arial" w:hAnsi="Arial" w:cs="Arial"/>
          <w:color w:val="222222"/>
          <w:sz w:val="22"/>
          <w:szCs w:val="22"/>
        </w:rPr>
        <w:t xml:space="preserve"> – Sample linked here</w:t>
      </w:r>
    </w:p>
    <w:p w14:paraId="63DA51C9" w14:textId="77777777" w:rsidR="00D113F9" w:rsidRDefault="00F36C12">
      <w:pPr>
        <w:numPr>
          <w:ilvl w:val="1"/>
          <w:numId w:val="5"/>
        </w:numPr>
        <w:pBdr>
          <w:top w:val="nil"/>
          <w:left w:val="nil"/>
          <w:bottom w:val="nil"/>
          <w:right w:val="nil"/>
          <w:between w:val="nil"/>
        </w:pBdr>
        <w:shd w:val="clear" w:color="auto" w:fill="FFFFFF"/>
        <w:ind w:right="-90"/>
        <w:rPr>
          <w:rFonts w:ascii="Arial" w:eastAsia="Arial" w:hAnsi="Arial" w:cs="Arial"/>
          <w:color w:val="222222"/>
          <w:sz w:val="22"/>
          <w:szCs w:val="22"/>
        </w:rPr>
      </w:pPr>
      <w:hyperlink r:id="rId10">
        <w:r w:rsidR="004B56EC">
          <w:rPr>
            <w:rFonts w:ascii="Arial" w:eastAsia="Arial" w:hAnsi="Arial" w:cs="Arial"/>
            <w:color w:val="0000FF"/>
            <w:sz w:val="22"/>
            <w:szCs w:val="22"/>
            <w:u w:val="single"/>
          </w:rPr>
          <w:t>SBA form 1919 &amp; 1920</w:t>
        </w:r>
      </w:hyperlink>
    </w:p>
    <w:p w14:paraId="498071B2" w14:textId="77777777" w:rsidR="00D113F9" w:rsidRDefault="004B56EC">
      <w:pPr>
        <w:numPr>
          <w:ilvl w:val="1"/>
          <w:numId w:val="5"/>
        </w:numPr>
        <w:pBdr>
          <w:top w:val="nil"/>
          <w:left w:val="nil"/>
          <w:bottom w:val="nil"/>
          <w:right w:val="nil"/>
          <w:between w:val="nil"/>
        </w:pBdr>
        <w:shd w:val="clear" w:color="auto" w:fill="FFFFFF"/>
        <w:ind w:right="-90"/>
        <w:rPr>
          <w:rFonts w:ascii="Arial" w:eastAsia="Arial" w:hAnsi="Arial" w:cs="Arial"/>
          <w:color w:val="222222"/>
          <w:sz w:val="22"/>
          <w:szCs w:val="22"/>
        </w:rPr>
      </w:pPr>
      <w:r>
        <w:rPr>
          <w:rFonts w:ascii="Arial" w:eastAsia="Arial" w:hAnsi="Arial" w:cs="Arial"/>
          <w:color w:val="222222"/>
          <w:sz w:val="22"/>
          <w:szCs w:val="22"/>
        </w:rPr>
        <w:lastRenderedPageBreak/>
        <w:t>2019 IRS forms (tax return or 990) or 2018 forms if you haven’t filed 2019 taxes</w:t>
      </w:r>
    </w:p>
    <w:p w14:paraId="5F96A629" w14:textId="77777777" w:rsidR="00D113F9" w:rsidRDefault="004B56EC">
      <w:pPr>
        <w:numPr>
          <w:ilvl w:val="1"/>
          <w:numId w:val="5"/>
        </w:numPr>
        <w:pBdr>
          <w:top w:val="nil"/>
          <w:left w:val="nil"/>
          <w:bottom w:val="nil"/>
          <w:right w:val="nil"/>
          <w:between w:val="nil"/>
        </w:pBdr>
        <w:shd w:val="clear" w:color="auto" w:fill="FFFFFF"/>
        <w:spacing w:after="280"/>
        <w:ind w:right="-90"/>
        <w:rPr>
          <w:rFonts w:ascii="Arial" w:eastAsia="Arial" w:hAnsi="Arial" w:cs="Arial"/>
          <w:color w:val="222222"/>
          <w:sz w:val="22"/>
          <w:szCs w:val="22"/>
        </w:rPr>
      </w:pPr>
      <w:r>
        <w:rPr>
          <w:rFonts w:ascii="Arial" w:eastAsia="Arial" w:hAnsi="Arial" w:cs="Arial"/>
          <w:color w:val="222222"/>
          <w:sz w:val="22"/>
          <w:szCs w:val="22"/>
        </w:rPr>
        <w:t>Complete end-of-year income, expense, and asset statements with payroll detail</w:t>
      </w:r>
    </w:p>
    <w:p w14:paraId="31714D56" w14:textId="77777777" w:rsidR="00D113F9" w:rsidRDefault="004B56EC">
      <w:pPr>
        <w:ind w:right="-90"/>
        <w:rPr>
          <w:rFonts w:ascii="Arial" w:eastAsia="Arial" w:hAnsi="Arial" w:cs="Arial"/>
          <w:b/>
          <w:color w:val="F1C232"/>
          <w:sz w:val="22"/>
          <w:szCs w:val="22"/>
          <w:shd w:val="clear" w:color="auto" w:fill="0B5394"/>
        </w:rPr>
      </w:pPr>
      <w:r>
        <w:rPr>
          <w:rFonts w:ascii="Oswald" w:eastAsia="Oswald" w:hAnsi="Oswald" w:cs="Oswald"/>
          <w:color w:val="FFFFFF"/>
          <w:sz w:val="36"/>
          <w:szCs w:val="36"/>
          <w:shd w:val="clear" w:color="auto" w:fill="0B5394"/>
        </w:rPr>
        <w:t xml:space="preserve">  Other Programs</w:t>
      </w:r>
      <w:r>
        <w:rPr>
          <w:rFonts w:ascii="Oswald" w:eastAsia="Oswald" w:hAnsi="Oswald" w:cs="Oswald"/>
          <w:color w:val="FFD966"/>
          <w:sz w:val="36"/>
          <w:szCs w:val="36"/>
          <w:shd w:val="clear" w:color="auto" w:fill="0B5394"/>
        </w:rPr>
        <w:t>.</w:t>
      </w:r>
      <w:r>
        <w:rPr>
          <w:rFonts w:ascii="Oswald" w:eastAsia="Oswald" w:hAnsi="Oswald" w:cs="Oswald"/>
          <w:color w:val="0B5394"/>
          <w:sz w:val="36"/>
          <w:szCs w:val="36"/>
          <w:shd w:val="clear" w:color="auto" w:fill="0B5394"/>
        </w:rPr>
        <w:t>..</w:t>
      </w:r>
      <w:r>
        <w:rPr>
          <w:rFonts w:ascii="Oswald" w:eastAsia="Oswald" w:hAnsi="Oswald" w:cs="Oswald"/>
          <w:color w:val="FFD966"/>
          <w:sz w:val="36"/>
          <w:szCs w:val="36"/>
          <w:shd w:val="clear" w:color="auto" w:fill="0B5394"/>
        </w:rPr>
        <w:t xml:space="preserve">  </w:t>
      </w:r>
    </w:p>
    <w:p w14:paraId="62B098EF" w14:textId="77777777" w:rsidR="00D113F9" w:rsidRDefault="004B56EC">
      <w:pPr>
        <w:shd w:val="clear" w:color="auto" w:fill="FFFFFF"/>
        <w:spacing w:before="280" w:after="280"/>
        <w:ind w:right="-90"/>
        <w:rPr>
          <w:rFonts w:ascii="Arial" w:eastAsia="Arial" w:hAnsi="Arial" w:cs="Arial"/>
          <w:color w:val="222222"/>
          <w:sz w:val="22"/>
          <w:szCs w:val="22"/>
        </w:rPr>
      </w:pPr>
      <w:r>
        <w:rPr>
          <w:rFonts w:ascii="Arial" w:eastAsia="Arial" w:hAnsi="Arial" w:cs="Arial"/>
          <w:color w:val="222222"/>
          <w:sz w:val="22"/>
          <w:szCs w:val="22"/>
        </w:rPr>
        <w:t>In addition to the Paycheck Protection Program, there are four additional programs summarized below*:</w:t>
      </w:r>
    </w:p>
    <w:p w14:paraId="2BE7E79C" w14:textId="77777777" w:rsidR="00D113F9" w:rsidRDefault="004B56EC">
      <w:pPr>
        <w:shd w:val="clear" w:color="auto" w:fill="FFFFFF"/>
        <w:spacing w:before="280" w:after="280"/>
        <w:ind w:right="-90"/>
        <w:rPr>
          <w:rFonts w:ascii="Arial" w:eastAsia="Arial" w:hAnsi="Arial" w:cs="Arial"/>
          <w:b/>
          <w:color w:val="0B5394"/>
        </w:rPr>
      </w:pPr>
      <w:r>
        <w:rPr>
          <w:rFonts w:ascii="Arial" w:eastAsia="Arial" w:hAnsi="Arial" w:cs="Arial"/>
          <w:b/>
          <w:color w:val="0B5394"/>
        </w:rPr>
        <w:t>Refundable Employee Retention Credit</w:t>
      </w:r>
    </w:p>
    <w:p w14:paraId="7AAD1CE4" w14:textId="77777777" w:rsidR="00D113F9" w:rsidRDefault="004B56EC">
      <w:pPr>
        <w:numPr>
          <w:ilvl w:val="0"/>
          <w:numId w:val="1"/>
        </w:numPr>
        <w:pBdr>
          <w:top w:val="nil"/>
          <w:left w:val="nil"/>
          <w:bottom w:val="nil"/>
          <w:right w:val="nil"/>
          <w:between w:val="nil"/>
        </w:pBdr>
        <w:shd w:val="clear" w:color="auto" w:fill="FFFFFF"/>
        <w:spacing w:before="280"/>
        <w:ind w:right="-90"/>
        <w:rPr>
          <w:color w:val="222222"/>
          <w:sz w:val="22"/>
          <w:szCs w:val="22"/>
        </w:rPr>
      </w:pPr>
      <w:r>
        <w:rPr>
          <w:rFonts w:ascii="Arial" w:eastAsia="Arial" w:hAnsi="Arial" w:cs="Arial"/>
          <w:color w:val="222222"/>
          <w:sz w:val="22"/>
          <w:szCs w:val="22"/>
        </w:rPr>
        <w:t>“Up to $5,000/employee/month refundable tax credit for wages paid by businesses with significant gross receipt declined due to Covid-19”</w:t>
      </w:r>
    </w:p>
    <w:p w14:paraId="5E3A5322" w14:textId="77777777" w:rsidR="00D113F9" w:rsidRDefault="004B56EC">
      <w:pPr>
        <w:numPr>
          <w:ilvl w:val="0"/>
          <w:numId w:val="1"/>
        </w:numPr>
        <w:pBdr>
          <w:top w:val="nil"/>
          <w:left w:val="nil"/>
          <w:bottom w:val="nil"/>
          <w:right w:val="nil"/>
          <w:between w:val="nil"/>
        </w:pBdr>
        <w:shd w:val="clear" w:color="auto" w:fill="FFFFFF"/>
        <w:ind w:right="-90"/>
        <w:rPr>
          <w:color w:val="222222"/>
          <w:sz w:val="22"/>
          <w:szCs w:val="22"/>
        </w:rPr>
      </w:pPr>
      <w:r>
        <w:rPr>
          <w:rFonts w:ascii="Arial" w:eastAsia="Arial" w:hAnsi="Arial" w:cs="Arial"/>
          <w:color w:val="222222"/>
          <w:sz w:val="22"/>
          <w:szCs w:val="22"/>
        </w:rPr>
        <w:t>Section 2301 of the CARES Act (H.R. 748, “3</w:t>
      </w:r>
      <w:r>
        <w:rPr>
          <w:rFonts w:ascii="Arial" w:eastAsia="Arial" w:hAnsi="Arial" w:cs="Arial"/>
          <w:color w:val="222222"/>
          <w:sz w:val="22"/>
          <w:szCs w:val="22"/>
          <w:vertAlign w:val="superscript"/>
        </w:rPr>
        <w:t>rd</w:t>
      </w:r>
      <w:r>
        <w:rPr>
          <w:rFonts w:ascii="Arial" w:eastAsia="Arial" w:hAnsi="Arial" w:cs="Arial"/>
          <w:color w:val="222222"/>
          <w:sz w:val="22"/>
          <w:szCs w:val="22"/>
        </w:rPr>
        <w:t xml:space="preserve"> Relief Bill”)</w:t>
      </w:r>
    </w:p>
    <w:p w14:paraId="7E942660" w14:textId="77777777" w:rsidR="00D113F9" w:rsidRDefault="00F36C12">
      <w:pPr>
        <w:numPr>
          <w:ilvl w:val="0"/>
          <w:numId w:val="1"/>
        </w:numPr>
        <w:pBdr>
          <w:top w:val="nil"/>
          <w:left w:val="nil"/>
          <w:bottom w:val="nil"/>
          <w:right w:val="nil"/>
          <w:between w:val="nil"/>
        </w:pBdr>
        <w:shd w:val="clear" w:color="auto" w:fill="FFFFFF"/>
        <w:ind w:right="-90"/>
        <w:rPr>
          <w:color w:val="222222"/>
          <w:sz w:val="22"/>
          <w:szCs w:val="22"/>
        </w:rPr>
      </w:pPr>
      <w:hyperlink r:id="rId11">
        <w:r w:rsidR="004B56EC">
          <w:rPr>
            <w:rFonts w:ascii="Arial" w:eastAsia="Arial" w:hAnsi="Arial" w:cs="Arial"/>
            <w:color w:val="0000FF"/>
            <w:sz w:val="22"/>
            <w:szCs w:val="22"/>
            <w:u w:val="single"/>
          </w:rPr>
          <w:t>Administered by the IRS</w:t>
        </w:r>
      </w:hyperlink>
    </w:p>
    <w:p w14:paraId="149127B7" w14:textId="77777777" w:rsidR="00D113F9" w:rsidRDefault="004B56EC">
      <w:pPr>
        <w:numPr>
          <w:ilvl w:val="0"/>
          <w:numId w:val="1"/>
        </w:numPr>
        <w:pBdr>
          <w:top w:val="nil"/>
          <w:left w:val="nil"/>
          <w:bottom w:val="nil"/>
          <w:right w:val="nil"/>
          <w:between w:val="nil"/>
        </w:pBdr>
        <w:shd w:val="clear" w:color="auto" w:fill="FFFFFF"/>
        <w:spacing w:after="280"/>
        <w:ind w:right="-90"/>
        <w:rPr>
          <w:color w:val="222222"/>
          <w:sz w:val="22"/>
          <w:szCs w:val="22"/>
        </w:rPr>
      </w:pPr>
      <w:r>
        <w:rPr>
          <w:rFonts w:ascii="Arial" w:eastAsia="Arial" w:hAnsi="Arial" w:cs="Arial"/>
          <w:color w:val="222222"/>
          <w:sz w:val="22"/>
          <w:szCs w:val="22"/>
        </w:rPr>
        <w:t>Cannot be combined with PPP, only 50% of wages</w:t>
      </w:r>
    </w:p>
    <w:p w14:paraId="1FAD4E41" w14:textId="77777777" w:rsidR="00D113F9" w:rsidRDefault="004B56EC">
      <w:pPr>
        <w:shd w:val="clear" w:color="auto" w:fill="FFFFFF"/>
        <w:spacing w:before="280" w:after="280"/>
        <w:ind w:right="-90"/>
        <w:rPr>
          <w:rFonts w:ascii="Arial" w:eastAsia="Arial" w:hAnsi="Arial" w:cs="Arial"/>
          <w:b/>
          <w:color w:val="0B5394"/>
        </w:rPr>
      </w:pPr>
      <w:r>
        <w:rPr>
          <w:rFonts w:ascii="Arial" w:eastAsia="Arial" w:hAnsi="Arial" w:cs="Arial"/>
          <w:b/>
          <w:color w:val="0B5394"/>
        </w:rPr>
        <w:t>Economic Injury Disaster Loan (EIDL)</w:t>
      </w:r>
    </w:p>
    <w:p w14:paraId="569FE4FC" w14:textId="77777777" w:rsidR="00D113F9" w:rsidRDefault="004B56EC">
      <w:pPr>
        <w:numPr>
          <w:ilvl w:val="0"/>
          <w:numId w:val="2"/>
        </w:numPr>
        <w:pBdr>
          <w:top w:val="nil"/>
          <w:left w:val="nil"/>
          <w:bottom w:val="nil"/>
          <w:right w:val="nil"/>
          <w:between w:val="nil"/>
        </w:pBdr>
        <w:shd w:val="clear" w:color="auto" w:fill="FFFFFF"/>
        <w:spacing w:before="280"/>
        <w:ind w:right="-90"/>
        <w:rPr>
          <w:color w:val="222222"/>
          <w:sz w:val="22"/>
          <w:szCs w:val="22"/>
        </w:rPr>
      </w:pPr>
      <w:r>
        <w:rPr>
          <w:rFonts w:ascii="Arial" w:eastAsia="Arial" w:hAnsi="Arial" w:cs="Arial"/>
          <w:color w:val="222222"/>
          <w:sz w:val="22"/>
          <w:szCs w:val="22"/>
        </w:rPr>
        <w:t>“Up to $2m (&lt;4%, 30yr) loan to alleviate specific economic injury. Not forgivable”</w:t>
      </w:r>
    </w:p>
    <w:p w14:paraId="4F207B6D" w14:textId="77777777" w:rsidR="00D113F9" w:rsidRDefault="004B56EC">
      <w:pPr>
        <w:numPr>
          <w:ilvl w:val="0"/>
          <w:numId w:val="2"/>
        </w:numPr>
        <w:pBdr>
          <w:top w:val="nil"/>
          <w:left w:val="nil"/>
          <w:bottom w:val="nil"/>
          <w:right w:val="nil"/>
          <w:between w:val="nil"/>
        </w:pBdr>
        <w:shd w:val="clear" w:color="auto" w:fill="FFFFFF"/>
        <w:ind w:right="-90"/>
        <w:rPr>
          <w:color w:val="222222"/>
          <w:sz w:val="22"/>
          <w:szCs w:val="22"/>
        </w:rPr>
      </w:pPr>
      <w:r>
        <w:rPr>
          <w:rFonts w:ascii="Arial" w:eastAsia="Arial" w:hAnsi="Arial" w:cs="Arial"/>
          <w:color w:val="222222"/>
          <w:sz w:val="22"/>
          <w:szCs w:val="22"/>
        </w:rPr>
        <w:t>Advance of up to $10,000</w:t>
      </w:r>
    </w:p>
    <w:p w14:paraId="2C2BE34F" w14:textId="77777777" w:rsidR="00D113F9" w:rsidRDefault="004B56EC">
      <w:pPr>
        <w:numPr>
          <w:ilvl w:val="0"/>
          <w:numId w:val="2"/>
        </w:numPr>
        <w:pBdr>
          <w:top w:val="nil"/>
          <w:left w:val="nil"/>
          <w:bottom w:val="nil"/>
          <w:right w:val="nil"/>
          <w:between w:val="nil"/>
        </w:pBdr>
        <w:shd w:val="clear" w:color="auto" w:fill="FFFFFF"/>
        <w:ind w:right="-90"/>
        <w:rPr>
          <w:color w:val="222222"/>
          <w:sz w:val="22"/>
          <w:szCs w:val="22"/>
        </w:rPr>
      </w:pPr>
      <w:r>
        <w:rPr>
          <w:rFonts w:ascii="Arial" w:eastAsia="Arial" w:hAnsi="Arial" w:cs="Arial"/>
          <w:color w:val="222222"/>
          <w:sz w:val="22"/>
          <w:szCs w:val="22"/>
        </w:rPr>
        <w:t>Part of the FFCRA (H.R. 6201, “2</w:t>
      </w:r>
      <w:r>
        <w:rPr>
          <w:rFonts w:ascii="Arial" w:eastAsia="Arial" w:hAnsi="Arial" w:cs="Arial"/>
          <w:color w:val="222222"/>
          <w:sz w:val="22"/>
          <w:szCs w:val="22"/>
          <w:vertAlign w:val="superscript"/>
        </w:rPr>
        <w:t>nd</w:t>
      </w:r>
      <w:r>
        <w:rPr>
          <w:rFonts w:ascii="Arial" w:eastAsia="Arial" w:hAnsi="Arial" w:cs="Arial"/>
          <w:color w:val="222222"/>
          <w:sz w:val="22"/>
          <w:szCs w:val="22"/>
        </w:rPr>
        <w:t xml:space="preserve"> Relief Bill)</w:t>
      </w:r>
    </w:p>
    <w:p w14:paraId="2ABC17F4" w14:textId="77777777" w:rsidR="00D113F9" w:rsidRDefault="00F36C12">
      <w:pPr>
        <w:numPr>
          <w:ilvl w:val="0"/>
          <w:numId w:val="2"/>
        </w:numPr>
        <w:pBdr>
          <w:top w:val="nil"/>
          <w:left w:val="nil"/>
          <w:bottom w:val="nil"/>
          <w:right w:val="nil"/>
          <w:between w:val="nil"/>
        </w:pBdr>
        <w:shd w:val="clear" w:color="auto" w:fill="FFFFFF"/>
        <w:ind w:right="-90"/>
        <w:rPr>
          <w:color w:val="222222"/>
          <w:sz w:val="22"/>
          <w:szCs w:val="22"/>
        </w:rPr>
      </w:pPr>
      <w:hyperlink r:id="rId12" w:anchor="section-header-2">
        <w:r w:rsidR="004B56EC">
          <w:rPr>
            <w:rFonts w:ascii="Arial" w:eastAsia="Arial" w:hAnsi="Arial" w:cs="Arial"/>
            <w:color w:val="0000FF"/>
            <w:sz w:val="22"/>
            <w:szCs w:val="22"/>
            <w:u w:val="single"/>
          </w:rPr>
          <w:t>Administered by SBA</w:t>
        </w:r>
      </w:hyperlink>
    </w:p>
    <w:p w14:paraId="0CEFC5B5" w14:textId="77777777" w:rsidR="00D113F9" w:rsidRDefault="004B56EC">
      <w:pPr>
        <w:numPr>
          <w:ilvl w:val="0"/>
          <w:numId w:val="2"/>
        </w:numPr>
        <w:pBdr>
          <w:top w:val="nil"/>
          <w:left w:val="nil"/>
          <w:bottom w:val="nil"/>
          <w:right w:val="nil"/>
          <w:between w:val="nil"/>
        </w:pBdr>
        <w:shd w:val="clear" w:color="auto" w:fill="FFFFFF"/>
        <w:spacing w:after="280"/>
        <w:ind w:right="-90"/>
        <w:rPr>
          <w:color w:val="222222"/>
          <w:sz w:val="22"/>
          <w:szCs w:val="22"/>
        </w:rPr>
      </w:pPr>
      <w:r>
        <w:rPr>
          <w:rFonts w:ascii="Arial" w:eastAsia="Arial" w:hAnsi="Arial" w:cs="Arial"/>
          <w:color w:val="222222"/>
          <w:sz w:val="22"/>
          <w:szCs w:val="22"/>
        </w:rPr>
        <w:t>Must document specific injury</w:t>
      </w:r>
    </w:p>
    <w:p w14:paraId="658070F7" w14:textId="77777777" w:rsidR="00D113F9" w:rsidRDefault="004B56EC">
      <w:pPr>
        <w:shd w:val="clear" w:color="auto" w:fill="FFFFFF"/>
        <w:spacing w:before="280" w:after="280"/>
        <w:ind w:right="-90"/>
        <w:rPr>
          <w:rFonts w:ascii="Arial" w:eastAsia="Arial" w:hAnsi="Arial" w:cs="Arial"/>
          <w:b/>
          <w:color w:val="0B5394"/>
        </w:rPr>
      </w:pPr>
      <w:r>
        <w:rPr>
          <w:rFonts w:ascii="Arial" w:eastAsia="Arial" w:hAnsi="Arial" w:cs="Arial"/>
          <w:b/>
          <w:color w:val="0B5394"/>
        </w:rPr>
        <w:t>Emergency EIDL Grants</w:t>
      </w:r>
    </w:p>
    <w:p w14:paraId="0B7AA720" w14:textId="77777777" w:rsidR="00D113F9" w:rsidRDefault="004B56EC">
      <w:pPr>
        <w:numPr>
          <w:ilvl w:val="0"/>
          <w:numId w:val="3"/>
        </w:numPr>
        <w:pBdr>
          <w:top w:val="nil"/>
          <w:left w:val="nil"/>
          <w:bottom w:val="nil"/>
          <w:right w:val="nil"/>
          <w:between w:val="nil"/>
        </w:pBdr>
        <w:shd w:val="clear" w:color="auto" w:fill="FFFFFF"/>
        <w:spacing w:before="280"/>
        <w:ind w:right="-90"/>
        <w:rPr>
          <w:color w:val="222222"/>
          <w:sz w:val="22"/>
          <w:szCs w:val="22"/>
        </w:rPr>
      </w:pPr>
      <w:r>
        <w:rPr>
          <w:rFonts w:ascii="Arial" w:eastAsia="Arial" w:hAnsi="Arial" w:cs="Arial"/>
          <w:color w:val="222222"/>
          <w:sz w:val="22"/>
          <w:szCs w:val="22"/>
        </w:rPr>
        <w:t>“Up to $10k paid out in &lt; 3 days”</w:t>
      </w:r>
    </w:p>
    <w:p w14:paraId="7B6A1F9C" w14:textId="77777777" w:rsidR="00D113F9" w:rsidRDefault="004B56EC">
      <w:pPr>
        <w:numPr>
          <w:ilvl w:val="0"/>
          <w:numId w:val="3"/>
        </w:numPr>
        <w:pBdr>
          <w:top w:val="nil"/>
          <w:left w:val="nil"/>
          <w:bottom w:val="nil"/>
          <w:right w:val="nil"/>
          <w:between w:val="nil"/>
        </w:pBdr>
        <w:shd w:val="clear" w:color="auto" w:fill="FFFFFF"/>
        <w:ind w:right="-90"/>
        <w:rPr>
          <w:color w:val="222222"/>
          <w:sz w:val="22"/>
          <w:szCs w:val="22"/>
        </w:rPr>
      </w:pPr>
      <w:r>
        <w:rPr>
          <w:rFonts w:ascii="Arial" w:eastAsia="Arial" w:hAnsi="Arial" w:cs="Arial"/>
          <w:color w:val="222222"/>
          <w:sz w:val="22"/>
          <w:szCs w:val="22"/>
        </w:rPr>
        <w:t>Section 1110 of the CARES Act (H.R. 748, “3</w:t>
      </w:r>
      <w:r>
        <w:rPr>
          <w:rFonts w:ascii="Arial" w:eastAsia="Arial" w:hAnsi="Arial" w:cs="Arial"/>
          <w:color w:val="222222"/>
          <w:sz w:val="22"/>
          <w:szCs w:val="22"/>
          <w:vertAlign w:val="superscript"/>
        </w:rPr>
        <w:t>rd</w:t>
      </w:r>
      <w:r>
        <w:rPr>
          <w:rFonts w:ascii="Arial" w:eastAsia="Arial" w:hAnsi="Arial" w:cs="Arial"/>
          <w:color w:val="222222"/>
          <w:sz w:val="22"/>
          <w:szCs w:val="22"/>
        </w:rPr>
        <w:t xml:space="preserve"> Relief Bill”)</w:t>
      </w:r>
    </w:p>
    <w:p w14:paraId="314B8B39" w14:textId="77777777" w:rsidR="00D113F9" w:rsidRDefault="00F36C12">
      <w:pPr>
        <w:numPr>
          <w:ilvl w:val="0"/>
          <w:numId w:val="3"/>
        </w:numPr>
        <w:pBdr>
          <w:top w:val="nil"/>
          <w:left w:val="nil"/>
          <w:bottom w:val="nil"/>
          <w:right w:val="nil"/>
          <w:between w:val="nil"/>
        </w:pBdr>
        <w:shd w:val="clear" w:color="auto" w:fill="FFFFFF"/>
        <w:ind w:right="-90"/>
        <w:rPr>
          <w:color w:val="222222"/>
          <w:sz w:val="22"/>
          <w:szCs w:val="22"/>
        </w:rPr>
      </w:pPr>
      <w:hyperlink r:id="rId13" w:anchor="section-header-2">
        <w:r w:rsidR="004B56EC">
          <w:rPr>
            <w:rFonts w:ascii="Arial" w:eastAsia="Arial" w:hAnsi="Arial" w:cs="Arial"/>
            <w:color w:val="0000FF"/>
            <w:sz w:val="22"/>
            <w:szCs w:val="22"/>
            <w:u w:val="single"/>
          </w:rPr>
          <w:t>Administered by the SBA</w:t>
        </w:r>
      </w:hyperlink>
    </w:p>
    <w:p w14:paraId="3A28E4BF" w14:textId="77777777" w:rsidR="00D113F9" w:rsidRDefault="004B56EC">
      <w:pPr>
        <w:numPr>
          <w:ilvl w:val="0"/>
          <w:numId w:val="3"/>
        </w:numPr>
        <w:pBdr>
          <w:top w:val="nil"/>
          <w:left w:val="nil"/>
          <w:bottom w:val="nil"/>
          <w:right w:val="nil"/>
          <w:between w:val="nil"/>
        </w:pBdr>
        <w:shd w:val="clear" w:color="auto" w:fill="FFFFFF"/>
        <w:spacing w:after="280"/>
        <w:ind w:right="-90"/>
        <w:rPr>
          <w:color w:val="222222"/>
          <w:sz w:val="22"/>
          <w:szCs w:val="22"/>
        </w:rPr>
      </w:pPr>
      <w:r>
        <w:rPr>
          <w:rFonts w:ascii="Arial" w:eastAsia="Arial" w:hAnsi="Arial" w:cs="Arial"/>
          <w:color w:val="222222"/>
          <w:sz w:val="22"/>
          <w:szCs w:val="22"/>
        </w:rPr>
        <w:t>Part of the EIDL process</w:t>
      </w:r>
    </w:p>
    <w:p w14:paraId="4DDC4176" w14:textId="77777777" w:rsidR="00D113F9" w:rsidRDefault="004B56EC">
      <w:pPr>
        <w:shd w:val="clear" w:color="auto" w:fill="FFFFFF"/>
        <w:spacing w:before="280" w:after="280"/>
        <w:ind w:right="-90"/>
        <w:rPr>
          <w:rFonts w:ascii="Arial" w:eastAsia="Arial" w:hAnsi="Arial" w:cs="Arial"/>
          <w:b/>
          <w:color w:val="0B5394"/>
        </w:rPr>
      </w:pPr>
      <w:r>
        <w:rPr>
          <w:rFonts w:ascii="Arial" w:eastAsia="Arial" w:hAnsi="Arial" w:cs="Arial"/>
          <w:b/>
          <w:color w:val="0B5394"/>
        </w:rPr>
        <w:t>Emergency Family and Medical Leave</w:t>
      </w:r>
    </w:p>
    <w:p w14:paraId="15C8300D" w14:textId="77777777" w:rsidR="00D113F9" w:rsidRDefault="004B56EC">
      <w:pPr>
        <w:numPr>
          <w:ilvl w:val="0"/>
          <w:numId w:val="4"/>
        </w:numPr>
        <w:pBdr>
          <w:top w:val="nil"/>
          <w:left w:val="nil"/>
          <w:bottom w:val="nil"/>
          <w:right w:val="nil"/>
          <w:between w:val="nil"/>
        </w:pBdr>
        <w:shd w:val="clear" w:color="auto" w:fill="FFFFFF"/>
        <w:spacing w:before="280"/>
        <w:ind w:right="-90"/>
        <w:rPr>
          <w:color w:val="222222"/>
          <w:sz w:val="22"/>
          <w:szCs w:val="22"/>
        </w:rPr>
      </w:pPr>
      <w:r>
        <w:rPr>
          <w:rFonts w:ascii="Arial" w:eastAsia="Arial" w:hAnsi="Arial" w:cs="Arial"/>
          <w:color w:val="222222"/>
          <w:sz w:val="22"/>
          <w:szCs w:val="22"/>
        </w:rPr>
        <w:t>“Government requires you to provide 2 week sick leave and 10 week family leave for employees impacted by Covid-19.  Government will cover up to $500/day sick leave, and up to $200/day family leave”</w:t>
      </w:r>
    </w:p>
    <w:p w14:paraId="3BE81094" w14:textId="77777777" w:rsidR="00D113F9" w:rsidRDefault="004B56EC">
      <w:pPr>
        <w:numPr>
          <w:ilvl w:val="0"/>
          <w:numId w:val="4"/>
        </w:numPr>
        <w:pBdr>
          <w:top w:val="nil"/>
          <w:left w:val="nil"/>
          <w:bottom w:val="nil"/>
          <w:right w:val="nil"/>
          <w:between w:val="nil"/>
        </w:pBdr>
        <w:shd w:val="clear" w:color="auto" w:fill="FFFFFF"/>
        <w:ind w:right="-90"/>
        <w:rPr>
          <w:color w:val="222222"/>
          <w:sz w:val="22"/>
          <w:szCs w:val="22"/>
        </w:rPr>
      </w:pPr>
      <w:r>
        <w:rPr>
          <w:rFonts w:ascii="Arial" w:eastAsia="Arial" w:hAnsi="Arial" w:cs="Arial"/>
          <w:color w:val="222222"/>
          <w:sz w:val="22"/>
          <w:szCs w:val="22"/>
        </w:rPr>
        <w:t>Division C of the FFCRA (H.R. 6201, “2</w:t>
      </w:r>
      <w:r>
        <w:rPr>
          <w:rFonts w:ascii="Arial" w:eastAsia="Arial" w:hAnsi="Arial" w:cs="Arial"/>
          <w:color w:val="222222"/>
          <w:sz w:val="22"/>
          <w:szCs w:val="22"/>
          <w:vertAlign w:val="superscript"/>
        </w:rPr>
        <w:t>nd</w:t>
      </w:r>
      <w:r>
        <w:rPr>
          <w:rFonts w:ascii="Arial" w:eastAsia="Arial" w:hAnsi="Arial" w:cs="Arial"/>
          <w:color w:val="222222"/>
          <w:sz w:val="22"/>
          <w:szCs w:val="22"/>
        </w:rPr>
        <w:t xml:space="preserve"> Relief Bill”)</w:t>
      </w:r>
    </w:p>
    <w:p w14:paraId="50D0DDE6" w14:textId="77777777" w:rsidR="00D113F9" w:rsidRDefault="00F36C12">
      <w:pPr>
        <w:numPr>
          <w:ilvl w:val="0"/>
          <w:numId w:val="4"/>
        </w:numPr>
        <w:pBdr>
          <w:top w:val="nil"/>
          <w:left w:val="nil"/>
          <w:bottom w:val="nil"/>
          <w:right w:val="nil"/>
          <w:between w:val="nil"/>
        </w:pBdr>
        <w:shd w:val="clear" w:color="auto" w:fill="FFFFFF"/>
        <w:ind w:right="-90"/>
        <w:rPr>
          <w:color w:val="222222"/>
          <w:sz w:val="22"/>
          <w:szCs w:val="22"/>
        </w:rPr>
      </w:pPr>
      <w:hyperlink r:id="rId14">
        <w:r w:rsidR="004B56EC">
          <w:rPr>
            <w:rFonts w:ascii="Arial" w:eastAsia="Arial" w:hAnsi="Arial" w:cs="Arial"/>
            <w:color w:val="0000FF"/>
            <w:sz w:val="22"/>
            <w:szCs w:val="22"/>
            <w:u w:val="single"/>
          </w:rPr>
          <w:t>Administered by the IRS</w:t>
        </w:r>
      </w:hyperlink>
    </w:p>
    <w:p w14:paraId="77DD9C1D" w14:textId="77777777" w:rsidR="00D113F9" w:rsidRDefault="00D113F9">
      <w:pPr>
        <w:shd w:val="clear" w:color="auto" w:fill="FFFFFF"/>
        <w:ind w:right="-90"/>
        <w:rPr>
          <w:rFonts w:ascii="Arial" w:eastAsia="Arial" w:hAnsi="Arial" w:cs="Arial"/>
          <w:color w:val="222222"/>
          <w:sz w:val="22"/>
          <w:szCs w:val="22"/>
        </w:rPr>
      </w:pPr>
    </w:p>
    <w:p w14:paraId="0BBB0364" w14:textId="77777777" w:rsidR="00D113F9" w:rsidRDefault="004B56EC">
      <w:pPr>
        <w:shd w:val="clear" w:color="auto" w:fill="FFFFFF"/>
        <w:ind w:right="-90"/>
        <w:rPr>
          <w:rFonts w:ascii="Arial" w:eastAsia="Arial" w:hAnsi="Arial" w:cs="Arial"/>
          <w:color w:val="222222"/>
          <w:sz w:val="22"/>
          <w:szCs w:val="22"/>
        </w:rPr>
      </w:pPr>
      <w:r>
        <w:rPr>
          <w:rFonts w:ascii="Arial" w:eastAsia="Arial" w:hAnsi="Arial" w:cs="Arial"/>
          <w:color w:val="222222"/>
          <w:sz w:val="22"/>
          <w:szCs w:val="22"/>
        </w:rPr>
        <w:t>*Summaries provided here are not intended to be legal advice and are based on publicly available information.  Please do your own research to evaluate these programs and lenders based on your specific situation and needs.</w:t>
      </w:r>
    </w:p>
    <w:p w14:paraId="207DDABD" w14:textId="77777777" w:rsidR="00D113F9" w:rsidRDefault="004B56EC">
      <w:pPr>
        <w:shd w:val="clear" w:color="auto" w:fill="FFFFFF"/>
        <w:ind w:right="-90"/>
        <w:rPr>
          <w:rFonts w:ascii="Arial" w:eastAsia="Arial" w:hAnsi="Arial" w:cs="Arial"/>
          <w:sz w:val="22"/>
          <w:szCs w:val="22"/>
        </w:rPr>
      </w:pPr>
      <w:r>
        <w:rPr>
          <w:rFonts w:ascii="Arial" w:eastAsia="Arial" w:hAnsi="Arial" w:cs="Arial"/>
          <w:sz w:val="22"/>
          <w:szCs w:val="22"/>
        </w:rPr>
        <w:t xml:space="preserve">*Summary items sourced from </w:t>
      </w:r>
      <w:hyperlink r:id="rId15">
        <w:r>
          <w:rPr>
            <w:rFonts w:ascii="Arial" w:eastAsia="Arial" w:hAnsi="Arial" w:cs="Arial"/>
            <w:color w:val="0000FF"/>
            <w:sz w:val="22"/>
            <w:szCs w:val="22"/>
            <w:u w:val="single"/>
          </w:rPr>
          <w:t>microconf.com overview</w:t>
        </w:r>
      </w:hyperlink>
    </w:p>
    <w:p w14:paraId="173D3C1C" w14:textId="77777777" w:rsidR="00D113F9" w:rsidRDefault="00D113F9">
      <w:pPr>
        <w:shd w:val="clear" w:color="auto" w:fill="FFFFFF"/>
        <w:ind w:right="-90"/>
        <w:rPr>
          <w:rFonts w:ascii="Arial" w:eastAsia="Arial" w:hAnsi="Arial" w:cs="Arial"/>
          <w:sz w:val="22"/>
          <w:szCs w:val="22"/>
        </w:rPr>
      </w:pPr>
    </w:p>
    <w:p w14:paraId="2337C189" w14:textId="77777777" w:rsidR="00D113F9" w:rsidRDefault="004B56EC">
      <w:pPr>
        <w:shd w:val="clear" w:color="auto" w:fill="FFFFFF"/>
        <w:ind w:right="-90"/>
        <w:rPr>
          <w:rFonts w:ascii="Arial" w:eastAsia="Arial" w:hAnsi="Arial" w:cs="Arial"/>
          <w:b/>
          <w:sz w:val="22"/>
          <w:szCs w:val="22"/>
        </w:rPr>
      </w:pPr>
      <w:r>
        <w:rPr>
          <w:rFonts w:ascii="Arial" w:eastAsia="Arial" w:hAnsi="Arial" w:cs="Arial"/>
          <w:b/>
          <w:sz w:val="22"/>
          <w:szCs w:val="22"/>
        </w:rPr>
        <w:t xml:space="preserve">See the latest resources and Frequently Asked Questions at </w:t>
      </w:r>
      <w:hyperlink r:id="rId16">
        <w:r>
          <w:rPr>
            <w:rFonts w:ascii="Arial" w:eastAsia="Arial" w:hAnsi="Arial" w:cs="Arial"/>
            <w:b/>
            <w:color w:val="1155CC"/>
            <w:sz w:val="22"/>
            <w:szCs w:val="22"/>
            <w:u w:val="single"/>
          </w:rPr>
          <w:t>www.orproviderrelief.org</w:t>
        </w:r>
      </w:hyperlink>
      <w:r>
        <w:rPr>
          <w:rFonts w:ascii="Arial" w:eastAsia="Arial" w:hAnsi="Arial" w:cs="Arial"/>
          <w:b/>
          <w:sz w:val="22"/>
          <w:szCs w:val="22"/>
        </w:rPr>
        <w:t xml:space="preserve"> </w:t>
      </w:r>
    </w:p>
    <w:sectPr w:rsidR="00D113F9">
      <w:headerReference w:type="default" r:id="rId17"/>
      <w:pgSz w:w="12240" w:h="15840"/>
      <w:pgMar w:top="45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AF66" w14:textId="77777777" w:rsidR="00F36C12" w:rsidRDefault="00F36C12">
      <w:r>
        <w:separator/>
      </w:r>
    </w:p>
  </w:endnote>
  <w:endnote w:type="continuationSeparator" w:id="0">
    <w:p w14:paraId="543A90DF" w14:textId="77777777" w:rsidR="00F36C12" w:rsidRDefault="00F3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Arial Narrow"/>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96EA" w14:textId="77777777" w:rsidR="00F36C12" w:rsidRDefault="00F36C12">
      <w:r>
        <w:separator/>
      </w:r>
    </w:p>
  </w:footnote>
  <w:footnote w:type="continuationSeparator" w:id="0">
    <w:p w14:paraId="2BC13333" w14:textId="77777777" w:rsidR="00F36C12" w:rsidRDefault="00F3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CEE2" w14:textId="77777777" w:rsidR="00D113F9" w:rsidRDefault="004B56EC">
    <w:pPr>
      <w:pBdr>
        <w:top w:val="nil"/>
        <w:left w:val="nil"/>
        <w:bottom w:val="nil"/>
        <w:right w:val="nil"/>
        <w:between w:val="nil"/>
      </w:pBdr>
      <w:tabs>
        <w:tab w:val="left" w:pos="993"/>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586"/>
    <w:multiLevelType w:val="multilevel"/>
    <w:tmpl w:val="29E0F40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3336AB"/>
    <w:multiLevelType w:val="multilevel"/>
    <w:tmpl w:val="E3C487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466321E"/>
    <w:multiLevelType w:val="multilevel"/>
    <w:tmpl w:val="E862A3CE"/>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14776EF"/>
    <w:multiLevelType w:val="multilevel"/>
    <w:tmpl w:val="1F0E9DB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B70549E"/>
    <w:multiLevelType w:val="multilevel"/>
    <w:tmpl w:val="EB247EA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F9"/>
    <w:rsid w:val="002C4F60"/>
    <w:rsid w:val="003A3615"/>
    <w:rsid w:val="004B56EC"/>
    <w:rsid w:val="009C234E"/>
    <w:rsid w:val="00D113F9"/>
    <w:rsid w:val="00F3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6F06"/>
  <w15:docId w15:val="{D91C4F2F-D5B1-2042-8628-33F32313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ba.gov/article/2020/mar/02/100-most-active-sba-7a-lenders" TargetMode="External"/><Relationship Id="rId13" Type="http://schemas.openxmlformats.org/officeDocument/2006/relationships/hyperlink" Target="https://www.sba.gov/page/coronavirus-covid-19-small-business-guidance-loan-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allbizcovid19.com/resources" TargetMode="External"/><Relationship Id="rId12" Type="http://schemas.openxmlformats.org/officeDocument/2006/relationships/hyperlink" Target="https://www.sba.gov/page/coronavirus-covid-19-small-business-guidance-loan-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rproviderrelie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newsroom/employee-retention-credit" TargetMode="External"/><Relationship Id="rId5" Type="http://schemas.openxmlformats.org/officeDocument/2006/relationships/footnotes" Target="footnotes.xml"/><Relationship Id="rId15" Type="http://schemas.openxmlformats.org/officeDocument/2006/relationships/hyperlink" Target="https://microconf.com/latest/covid-19-business-relief-overview" TargetMode="External"/><Relationship Id="rId10" Type="http://schemas.openxmlformats.org/officeDocument/2006/relationships/hyperlink" Target="https://www.sba.gov/document/information-notice-5000-17007-updated-7a-loan-program-forms-1919-and-19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ba.gov/document/sba-form--paycheck-protection-program-ppp-sample-application-form" TargetMode="External"/><Relationship Id="rId14" Type="http://schemas.openxmlformats.org/officeDocument/2006/relationships/hyperlink" Target="https://www.irs.gov/newsroom/covid-19-related-tax-credits-for-required-paid-leave-provided-by-small-and-midsize-businesse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Terra L</dc:creator>
  <cp:lastModifiedBy>Microsoft Office User</cp:lastModifiedBy>
  <cp:revision>2</cp:revision>
  <dcterms:created xsi:type="dcterms:W3CDTF">2020-04-17T21:20:00Z</dcterms:created>
  <dcterms:modified xsi:type="dcterms:W3CDTF">2020-04-17T21:20:00Z</dcterms:modified>
</cp:coreProperties>
</file>